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PingFang TC" w:hAnsi="PingFang TC"/>
          <w:b/>
          <w:color w:val="2563EB"/>
          <w:sz w:val="40"/>
        </w:rPr>
        <w:t>PDCA 持續改善循環模板</w:t>
      </w:r>
    </w:p>
    <w:p>
      <w:pPr>
        <w:jc w:val="left"/>
      </w:pPr>
      <w:r>
        <w:rPr>
          <w:rFonts w:ascii="PingFang TC" w:hAnsi="PingFang TC"/>
          <w:sz w:val="22"/>
        </w:rPr>
        <w:t>專案 / 改善項目名稱：_______________________     日期：_____________     負責人：_____________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2563EB"/>
          </w:tcPr>
          <w:p>
            <w:r/>
            <w:r>
              <w:rPr>
                <w:rFonts w:ascii="PingFang TC" w:hAnsi="PingFang TC"/>
                <w:b/>
                <w:color w:val="FFFFFF"/>
                <w:sz w:val="24"/>
              </w:rPr>
              <w:t>【Plan 計畫】階段</w:t>
            </w:r>
          </w:p>
        </w:tc>
        <w:tc>
          <w:tcPr>
            <w:tcW w:type="dxa" w:w="6803"/>
            <w:shd w:val="clear" w:color="auto" w:fill="2563EB"/>
          </w:tcPr>
          <w:p>
            <w:r/>
            <w:r>
              <w:rPr>
                <w:rFonts w:ascii="PingFang TC" w:hAnsi="PingFang TC"/>
                <w:b/>
                <w:color w:val="FFFFFF"/>
                <w:sz w:val="24"/>
              </w:rPr>
              <w:t>填寫內容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問題描述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（具體現況、發生頻率、影響範圍）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根因分析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（5 Why 或魚骨圖找出根本原因）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SMART 目標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（具體、可衡量、可達成、相關、有時限）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行動計畫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（步驟、負責人、時程、所需資源）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KPI 衡量指標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（如何證明改善有效？）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59E0B"/>
          </w:tcPr>
          <w:p>
            <w:r/>
            <w:r>
              <w:rPr>
                <w:rFonts w:ascii="PingFang TC" w:hAnsi="PingFang TC"/>
                <w:b/>
                <w:color w:val="FFFFFF"/>
                <w:sz w:val="24"/>
              </w:rPr>
              <w:t>【Do 執行】階段</w:t>
            </w:r>
          </w:p>
        </w:tc>
        <w:tc>
          <w:tcPr>
            <w:tcW w:type="dxa" w:w="6803"/>
            <w:shd w:val="clear" w:color="auto" w:fill="F59E0B"/>
          </w:tcPr>
          <w:p>
            <w:r/>
            <w:r>
              <w:rPr>
                <w:rFonts w:ascii="PingFang TC" w:hAnsi="PingFang TC"/>
                <w:b/>
                <w:color w:val="FFFFFF"/>
                <w:sz w:val="24"/>
              </w:rPr>
              <w:t>填寫內容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執行紀錄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（每週進度更新，遇到的問題與解法）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實際數據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（執行過程中收集的關鍵數據）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時程偏差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（實際進度與計畫的差異）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資源使用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（人力、預算、工具的實際投入）</w:t>
            </w:r>
          </w:p>
        </w:tc>
      </w:tr>
    </w:tbl>
    <w:p/>
    <w:p>
      <w:r>
        <w:br w:type="page"/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10B981"/>
          </w:tcPr>
          <w:p>
            <w:r/>
            <w:r>
              <w:rPr>
                <w:rFonts w:ascii="PingFang TC" w:hAnsi="PingFang TC"/>
                <w:b/>
                <w:color w:val="FFFFFF"/>
                <w:sz w:val="24"/>
              </w:rPr>
              <w:t>【Check 檢查】階段</w:t>
            </w:r>
          </w:p>
        </w:tc>
        <w:tc>
          <w:tcPr>
            <w:tcW w:type="dxa" w:w="6803"/>
            <w:shd w:val="clear" w:color="auto" w:fill="10B981"/>
          </w:tcPr>
          <w:p>
            <w:r/>
            <w:r>
              <w:rPr>
                <w:rFonts w:ascii="PingFang TC" w:hAnsi="PingFang TC"/>
                <w:b/>
                <w:color w:val="FFFFFF"/>
                <w:sz w:val="24"/>
              </w:rPr>
              <w:t>填寫內容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結果對比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（目標 vs 實際的差異率）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達標判定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□ 已達標   □ 部分達標   □ 未達標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成效歸因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（哪些行動最有效？哪些無效？）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非預期影響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（正面或負面的副作用）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8B5CF6"/>
          </w:tcPr>
          <w:p>
            <w:r/>
            <w:r>
              <w:rPr>
                <w:rFonts w:ascii="PingFang TC" w:hAnsi="PingFang TC"/>
                <w:b/>
                <w:color w:val="FFFFFF"/>
                <w:sz w:val="24"/>
              </w:rPr>
              <w:t>【Act 行動】階段</w:t>
            </w:r>
          </w:p>
        </w:tc>
        <w:tc>
          <w:tcPr>
            <w:tcW w:type="dxa" w:w="6803"/>
            <w:shd w:val="clear" w:color="auto" w:fill="8B5CF6"/>
          </w:tcPr>
          <w:p>
            <w:r/>
            <w:r>
              <w:rPr>
                <w:rFonts w:ascii="PingFang TC" w:hAnsi="PingFang TC"/>
                <w:b/>
                <w:color w:val="FFFFFF"/>
                <w:sz w:val="24"/>
              </w:rPr>
              <w:t>填寫內容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標準化決策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□ 列入 SOP   □ 修正後再試   □ 終止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展開範圍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（複製到哪些部門/產線？）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下一輪 PDCA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（待解決的剩餘問題）</w:t>
            </w:r>
          </w:p>
        </w:tc>
      </w:tr>
      <w:tr>
        <w:tc>
          <w:tcPr>
            <w:tcW w:type="dxa" w:w="2835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經驗教訓</w:t>
            </w:r>
          </w:p>
        </w:tc>
        <w:tc>
          <w:tcPr>
            <w:tcW w:type="dxa" w:w="68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（值得記錄的關鍵學習）</w:t>
            </w:r>
          </w:p>
        </w:tc>
      </w:tr>
    </w:tbl>
    <w:p/>
    <w:p>
      <w:r>
        <w:br w:type="page"/>
      </w:r>
    </w:p>
    <w:p>
      <w:r>
        <w:rPr>
          <w:rFonts w:ascii="PingFang TC" w:hAnsi="PingFang TC"/>
          <w:b/>
          <w:color w:val="2563EB"/>
          <w:sz w:val="32"/>
        </w:rPr>
        <w:t>附件 1：5 Why 根因分析表</w:t>
      </w:r>
    </w:p>
    <w:p>
      <w:r>
        <w:t>用於 Plan 階段的根因分析。從問題現象開始，連續追問 5 次「為什麼」，找出根本原因。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2563EB"/>
          </w:tcPr>
          <w:p>
            <w:r/>
            <w:r>
              <w:rPr>
                <w:rFonts w:ascii="PingFang TC" w:hAnsi="PingFang TC"/>
                <w:b/>
                <w:color w:val="FFFFFF"/>
                <w:sz w:val="22"/>
              </w:rPr>
              <w:t>問題現象</w:t>
            </w:r>
          </w:p>
        </w:tc>
        <w:tc>
          <w:tcPr>
            <w:tcW w:type="dxa" w:w="4703"/>
            <w:shd w:val="clear" w:color="auto" w:fill="2563EB"/>
          </w:tcPr>
          <w:p>
            <w:r/>
            <w:r>
              <w:rPr>
                <w:rFonts w:ascii="PingFang TC" w:hAnsi="PingFang TC"/>
                <w:b w:val="0"/>
                <w:color w:val="FFFFFF"/>
                <w:sz w:val="22"/>
              </w:rPr>
              <w:t>（描述觀察到的問題）</w:t>
            </w:r>
          </w:p>
        </w:tc>
      </w:tr>
      <w:tr>
        <w:tc>
          <w:tcPr>
            <w:tcW w:type="dxa" w:w="4703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Why #1</w:t>
            </w:r>
          </w:p>
        </w:tc>
        <w:tc>
          <w:tcPr>
            <w:tcW w:type="dxa" w:w="47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為什麼會發生上一個原因？</w:t>
            </w:r>
          </w:p>
        </w:tc>
      </w:tr>
      <w:tr>
        <w:tc>
          <w:tcPr>
            <w:tcW w:type="dxa" w:w="4703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Why #2</w:t>
            </w:r>
          </w:p>
        </w:tc>
        <w:tc>
          <w:tcPr>
            <w:tcW w:type="dxa" w:w="47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為什麼會發生上一個原因？</w:t>
            </w:r>
          </w:p>
        </w:tc>
      </w:tr>
      <w:tr>
        <w:tc>
          <w:tcPr>
            <w:tcW w:type="dxa" w:w="4703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Why #3</w:t>
            </w:r>
          </w:p>
        </w:tc>
        <w:tc>
          <w:tcPr>
            <w:tcW w:type="dxa" w:w="47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為什麼會發生上一個原因？</w:t>
            </w:r>
          </w:p>
        </w:tc>
      </w:tr>
      <w:tr>
        <w:tc>
          <w:tcPr>
            <w:tcW w:type="dxa" w:w="4703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Why #4</w:t>
            </w:r>
          </w:p>
        </w:tc>
        <w:tc>
          <w:tcPr>
            <w:tcW w:type="dxa" w:w="47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為什麼會發生上一個原因？</w:t>
            </w:r>
          </w:p>
        </w:tc>
      </w:tr>
      <w:tr>
        <w:tc>
          <w:tcPr>
            <w:tcW w:type="dxa" w:w="4703"/>
            <w:shd w:val="clear" w:color="auto" w:fill="F3F4F6"/>
          </w:tcPr>
          <w:p>
            <w:r/>
            <w:r>
              <w:rPr>
                <w:rFonts w:ascii="PingFang TC" w:hAnsi="PingFang TC"/>
                <w:b/>
                <w:sz w:val="22"/>
              </w:rPr>
              <w:t>Why #5</w:t>
            </w:r>
          </w:p>
        </w:tc>
        <w:tc>
          <w:tcPr>
            <w:tcW w:type="dxa" w:w="4703"/>
          </w:tcPr>
          <w:p>
            <w:r/>
            <w:r>
              <w:rPr>
                <w:rFonts w:ascii="PingFang TC" w:hAnsi="PingFang TC"/>
                <w:b w:val="0"/>
                <w:color w:val="6B7280"/>
                <w:sz w:val="20"/>
              </w:rPr>
              <w:t>為什麼會發生上一個原因？</w:t>
            </w:r>
          </w:p>
        </w:tc>
      </w:tr>
    </w:tbl>
    <w:p/>
    <w:p>
      <w:r>
        <w:rPr>
          <w:b/>
          <w:sz w:val="22"/>
        </w:rPr>
        <w:t>根本原因（Root Cause）：____________________________________________</w:t>
      </w:r>
    </w:p>
    <w:p>
      <w:r>
        <w:br w:type="page"/>
      </w:r>
    </w:p>
    <w:p>
      <w:r>
        <w:rPr>
          <w:rFonts w:ascii="PingFang TC" w:hAnsi="PingFang TC"/>
          <w:b/>
          <w:color w:val="2563EB"/>
          <w:sz w:val="32"/>
        </w:rPr>
        <w:t>附件 2：填寫範例（製造業不良率改善）</w:t>
      </w:r>
    </w:p>
    <w:p/>
    <w:p>
      <w:r>
        <w:rPr>
          <w:rFonts w:ascii="PingFang TC" w:hAnsi="PingFang TC"/>
          <w:b/>
          <w:color w:val="2563EB"/>
          <w:sz w:val="26"/>
        </w:rPr>
        <w:t>Plan 計畫</w:t>
      </w:r>
    </w:p>
    <w:p>
      <w:r>
        <w:rPr>
          <w:b/>
          <w:sz w:val="20"/>
        </w:rPr>
        <w:t>問題描述：</w:t>
      </w:r>
      <w:r>
        <w:rPr>
          <w:sz w:val="20"/>
        </w:rPr>
        <w:t>A 線產品月均不良率 4.2%，遠高於公司目標 2%，三個月連續未改善。</w:t>
      </w:r>
    </w:p>
    <w:p>
      <w:r>
        <w:rPr>
          <w:b/>
          <w:sz w:val="20"/>
        </w:rPr>
        <w:t>根因分析：</w:t>
      </w:r>
      <w:r>
        <w:rPr>
          <w:sz w:val="20"/>
        </w:rPr>
        <w:t>5 Why 結果：操作員培訓不足 → 標準作業書內容過時 → SOP 半年未更新 → 缺乏 SOP 維護機制 → 品質部門人力不足。</w:t>
      </w:r>
    </w:p>
    <w:p>
      <w:r>
        <w:rPr>
          <w:b/>
          <w:sz w:val="20"/>
        </w:rPr>
        <w:t>SMART 目標：</w:t>
      </w:r>
      <w:r>
        <w:rPr>
          <w:sz w:val="20"/>
        </w:rPr>
        <w:t>在 3 個月內將 A 線不良率從 4.2% 降至 2% 以下。</w:t>
      </w:r>
    </w:p>
    <w:p>
      <w:r>
        <w:rPr>
          <w:b/>
          <w:sz w:val="20"/>
        </w:rPr>
        <w:t>行動計畫：</w:t>
      </w:r>
      <w:r>
        <w:rPr>
          <w:sz w:val="20"/>
        </w:rPr>
        <w:t>1. 重寫 SOP（品質部，2 週）</w:t>
        <w:br/>
        <w:t>2. 全員培訓（產線主管，1 週）</w:t>
        <w:br/>
        <w:t>3. 每日抽檢（QC，持續執行）</w:t>
      </w:r>
    </w:p>
    <w:p>
      <w:r>
        <w:rPr>
          <w:b/>
          <w:sz w:val="20"/>
        </w:rPr>
        <w:t>KPI 衡量指標：</w:t>
      </w:r>
      <w:r>
        <w:rPr>
          <w:sz w:val="20"/>
        </w:rPr>
        <w:t>週不良率、培訓完成率、SOP 遵守率</w:t>
      </w:r>
    </w:p>
    <w:p/>
    <w:p>
      <w:r>
        <w:rPr>
          <w:rFonts w:ascii="PingFang TC" w:hAnsi="PingFang TC"/>
          <w:b/>
          <w:color w:val="F59E0B"/>
          <w:sz w:val="26"/>
        </w:rPr>
        <w:t>Do 執行</w:t>
      </w:r>
    </w:p>
    <w:p>
      <w:r>
        <w:rPr>
          <w:b/>
          <w:sz w:val="20"/>
        </w:rPr>
        <w:t>執行紀錄：</w:t>
      </w:r>
      <w:r>
        <w:rPr>
          <w:sz w:val="20"/>
        </w:rPr>
        <w:t>第 1-2 週完成 SOP 改版，第 3 週完成全員培訓 95% 出席率，第 4 週起每日 QC 抽檢 30 件。</w:t>
      </w:r>
    </w:p>
    <w:p/>
    <w:p>
      <w:r>
        <w:rPr>
          <w:rFonts w:ascii="PingFang TC" w:hAnsi="PingFang TC"/>
          <w:b/>
          <w:color w:val="10B981"/>
          <w:sz w:val="26"/>
        </w:rPr>
        <w:t>Check 檢查</w:t>
      </w:r>
    </w:p>
    <w:p>
      <w:r>
        <w:rPr>
          <w:b/>
          <w:sz w:val="20"/>
        </w:rPr>
        <w:t>結果對比：</w:t>
      </w:r>
      <w:r>
        <w:rPr>
          <w:sz w:val="20"/>
        </w:rPr>
        <w:t>3 個月後不良率降至 1.8%，達標。改善幅度 57%。</w:t>
      </w:r>
    </w:p>
    <w:p/>
    <w:p>
      <w:r>
        <w:rPr>
          <w:rFonts w:ascii="PingFang TC" w:hAnsi="PingFang TC"/>
          <w:b/>
          <w:color w:val="8B5CF6"/>
          <w:sz w:val="26"/>
        </w:rPr>
        <w:t>Act 行動</w:t>
      </w:r>
    </w:p>
    <w:p>
      <w:r>
        <w:rPr>
          <w:b/>
          <w:sz w:val="20"/>
        </w:rPr>
        <w:t>標準化決策：</w:t>
      </w:r>
      <w:r>
        <w:rPr>
          <w:sz w:val="20"/>
        </w:rPr>
        <w:t>☑ 列入 SOP（已完成）。下一輪 PDCA 將此模式展開至 B 線、C 線。</w:t>
      </w:r>
    </w:p>
    <w:p/>
    <w:p/>
    <w:p>
      <w:pPr>
        <w:jc w:val="center"/>
      </w:pPr>
      <w:r>
        <w:rPr>
          <w:color w:val="9CA3AF"/>
          <w:sz w:val="18"/>
        </w:rPr>
        <w:t>© Project Manager Taiwan • projectmanager.com.tw • 免費下載 • 可商業使用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ingFang TC" w:hAnsi="PingFang T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